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64BFB" w14:textId="77777777" w:rsidR="00A265B0" w:rsidRPr="00A265B0" w:rsidRDefault="00A265B0" w:rsidP="00A265B0">
      <w:pPr>
        <w:spacing w:before="240" w:after="120" w:line="240" w:lineRule="auto"/>
        <w:rPr>
          <w:rFonts w:ascii="Cambria" w:hAnsi="Cambria"/>
          <w:b/>
          <w:bCs/>
          <w:iCs/>
          <w:sz w:val="24"/>
          <w:szCs w:val="24"/>
        </w:rPr>
      </w:pPr>
      <w:r w:rsidRPr="00A265B0">
        <w:rPr>
          <w:rFonts w:ascii="Cambria" w:hAnsi="Cambria"/>
          <w:b/>
          <w:bCs/>
          <w:iCs/>
          <w:sz w:val="24"/>
          <w:szCs w:val="24"/>
        </w:rPr>
        <w:t>Gadījuma izpēte: Darbības rezultātu vadība, izmantojot bezpeļņas analīzi</w:t>
      </w:r>
    </w:p>
    <w:p w14:paraId="53BDAE3B" w14:textId="77777777" w:rsidR="00A265B0" w:rsidRPr="00A265B0" w:rsidRDefault="00A265B0" w:rsidP="00A265B0">
      <w:pPr>
        <w:spacing w:before="240" w:after="120" w:line="240" w:lineRule="auto"/>
        <w:rPr>
          <w:rFonts w:ascii="Cambria" w:hAnsi="Cambria"/>
          <w:bCs/>
          <w:iCs/>
          <w:sz w:val="24"/>
          <w:szCs w:val="24"/>
        </w:rPr>
      </w:pPr>
      <w:r w:rsidRPr="00A265B0">
        <w:rPr>
          <w:rFonts w:ascii="Cambria" w:hAnsi="Cambria"/>
          <w:bCs/>
          <w:i/>
          <w:iCs/>
          <w:sz w:val="24"/>
          <w:szCs w:val="24"/>
          <w:u w:val="single"/>
        </w:rPr>
        <w:t>Gadījuma kopsavilkums</w:t>
      </w:r>
      <w:r w:rsidRPr="00A265B0">
        <w:rPr>
          <w:rFonts w:ascii="Cambria" w:hAnsi="Cambria"/>
          <w:bCs/>
          <w:iCs/>
          <w:sz w:val="24"/>
          <w:szCs w:val="24"/>
        </w:rPr>
        <w:t xml:space="preserve">.  ABC komerciālās aviosabiedrības prezidents Pīters Džons, iepazīstoties ar konkurentu finanšu pārskatiem, konstatēja, ka uzņēmuma pārskata gada neto ienākumi ir mazāki nekā konkurentu neto ienākumi. P. Džons uzskatīja, ka viņa vadītais uzņēmums nav pievērsis pietiekamu uzmanību uzņēmējdarbības vadības analīzei. </w:t>
      </w:r>
    </w:p>
    <w:p w14:paraId="2ED1E34E" w14:textId="77777777" w:rsidR="00A265B0" w:rsidRPr="00A265B0" w:rsidRDefault="00A265B0" w:rsidP="00A265B0">
      <w:pPr>
        <w:spacing w:before="240" w:after="120" w:line="240" w:lineRule="auto"/>
        <w:rPr>
          <w:rFonts w:ascii="Cambria" w:hAnsi="Cambria"/>
          <w:bCs/>
          <w:iCs/>
          <w:sz w:val="24"/>
          <w:szCs w:val="24"/>
        </w:rPr>
      </w:pPr>
      <w:r w:rsidRPr="00A265B0">
        <w:rPr>
          <w:rFonts w:ascii="Cambria" w:hAnsi="Cambria"/>
          <w:bCs/>
          <w:iCs/>
          <w:sz w:val="24"/>
          <w:szCs w:val="24"/>
        </w:rPr>
        <w:t xml:space="preserve">Viņš zina, ka peļņas un zaudējumu analīze ir praktisks uzņēmuma vadības instruments, un tā ir populāra daudzos aviosabiedrību uzņēmumos. Tas ir līmenis, pie kura uzņēmums nerada ne zaudējumus, ne peļņu, bet tikai sedz savas fiksētās izmaksas. Džona kungs nolēma uzņēmuma praksē ieviest peļņas un zaudējumu līmeņa un darbības riska uzraudzību. </w:t>
      </w:r>
    </w:p>
    <w:p w14:paraId="4509E0F5" w14:textId="77777777" w:rsidR="00A265B0" w:rsidRPr="00A265B0" w:rsidRDefault="00A265B0" w:rsidP="00A265B0">
      <w:pPr>
        <w:spacing w:before="240" w:after="120" w:line="240" w:lineRule="auto"/>
        <w:rPr>
          <w:rFonts w:ascii="Cambria" w:hAnsi="Cambria"/>
          <w:bCs/>
          <w:iCs/>
          <w:sz w:val="24"/>
          <w:szCs w:val="24"/>
        </w:rPr>
      </w:pPr>
      <w:r w:rsidRPr="00A265B0">
        <w:rPr>
          <w:rFonts w:ascii="Cambria" w:hAnsi="Cambria"/>
          <w:bCs/>
          <w:iCs/>
          <w:sz w:val="24"/>
          <w:szCs w:val="24"/>
        </w:rPr>
        <w:t xml:space="preserve">Zinot peļņas un zaudējumu līmeni, ir iespējams salīdzināt paredzamo vai faktisko saimnieciskās darbības apjomu ar BEP un tādējādi spriest par risku. Ja paredzams, ka darbības apjoms tikai nedaudz pārsniegs peļņas un zaudējumu slieksni, tas var liecināt, ka tas ir riskants uzņēmums. Tikai neliels darbības apjoma kritums salīdzinājumā ar paredzamo varētu radīt zaudējumus. </w:t>
      </w:r>
    </w:p>
    <w:p w14:paraId="22EEA2A0" w14:textId="77777777" w:rsidR="00A265B0" w:rsidRPr="00A265B0" w:rsidRDefault="00A265B0" w:rsidP="00A265B0">
      <w:pPr>
        <w:spacing w:before="120" w:after="120" w:line="240" w:lineRule="auto"/>
        <w:rPr>
          <w:rFonts w:ascii="Cambria" w:hAnsi="Cambria"/>
          <w:b/>
          <w:sz w:val="24"/>
          <w:szCs w:val="24"/>
        </w:rPr>
      </w:pPr>
      <w:r w:rsidRPr="00A265B0">
        <w:rPr>
          <w:rFonts w:ascii="Cambria" w:hAnsi="Cambria"/>
          <w:b/>
          <w:sz w:val="24"/>
          <w:szCs w:val="24"/>
        </w:rPr>
        <w:t xml:space="preserve">Uzdevums </w:t>
      </w:r>
    </w:p>
    <w:p w14:paraId="37E1946A" w14:textId="77777777" w:rsidR="00A265B0" w:rsidRPr="00A265B0" w:rsidRDefault="00A265B0" w:rsidP="00A265B0">
      <w:pPr>
        <w:spacing w:before="120" w:after="120" w:line="240" w:lineRule="auto"/>
        <w:rPr>
          <w:rFonts w:ascii="Cambria" w:hAnsi="Cambria"/>
          <w:sz w:val="24"/>
          <w:szCs w:val="24"/>
        </w:rPr>
      </w:pPr>
      <w:r w:rsidRPr="00A265B0">
        <w:rPr>
          <w:rFonts w:ascii="Cambria" w:hAnsi="Cambria"/>
          <w:sz w:val="24"/>
          <w:szCs w:val="24"/>
        </w:rPr>
        <w:t>Jums ir jāanalizē informācija par trīs aviosabiedrību finanšu rezultātiem pārskata finanšu gadā, izmantojot vadības analīzes rīkus. Pirmā ir tradicionālā aviosabiedrība, kuru vada Džona kungs; citas divas ir zemo izmaksu aviosabiedrības (“bez maksas aviosabiedrības”); tas nozīmē, ka to pasažieri saņem zemāka</w:t>
      </w:r>
      <w:bookmarkStart w:id="0" w:name="_GoBack"/>
      <w:bookmarkEnd w:id="0"/>
      <w:r w:rsidRPr="00A265B0">
        <w:rPr>
          <w:rFonts w:ascii="Cambria" w:hAnsi="Cambria"/>
          <w:sz w:val="24"/>
          <w:szCs w:val="24"/>
        </w:rPr>
        <w:t xml:space="preserve"> līmeņa pakalpojumus un par zemāku cenu. Visas trīs veic lidojumus Eiropā. </w:t>
      </w:r>
    </w:p>
    <w:p w14:paraId="5DFE24AD" w14:textId="77777777" w:rsidR="00A265B0" w:rsidRPr="00A265B0" w:rsidRDefault="00A265B0" w:rsidP="00A265B0">
      <w:pPr>
        <w:spacing w:before="120" w:after="120" w:line="240" w:lineRule="auto"/>
        <w:rPr>
          <w:rFonts w:ascii="Cambria" w:hAnsi="Cambria"/>
          <w:sz w:val="24"/>
          <w:szCs w:val="24"/>
        </w:rPr>
      </w:pPr>
    </w:p>
    <w:p w14:paraId="64077A80" w14:textId="2B224D59" w:rsidR="00A265B0" w:rsidRPr="00A265B0" w:rsidRDefault="00A265B0" w:rsidP="00A265B0">
      <w:pPr>
        <w:spacing w:before="120" w:after="120" w:line="240" w:lineRule="auto"/>
        <w:rPr>
          <w:rFonts w:ascii="Cambria" w:hAnsi="Cambria"/>
          <w:sz w:val="24"/>
          <w:szCs w:val="24"/>
        </w:rPr>
      </w:pPr>
      <w:r w:rsidRPr="00A265B0">
        <w:rPr>
          <w:rFonts w:ascii="Cambria" w:hAnsi="Cambria"/>
          <w:sz w:val="24"/>
          <w:szCs w:val="24"/>
        </w:rPr>
        <w:t xml:space="preserve">Peļņas un zaudējumu aprēķins (Ieguldījuma peļņas normas formāts, miljardi </w:t>
      </w:r>
      <w:proofErr w:type="spellStart"/>
      <w:r w:rsidRPr="00A265B0">
        <w:rPr>
          <w:rFonts w:ascii="Cambria" w:hAnsi="Cambria"/>
          <w:sz w:val="24"/>
          <w:szCs w:val="24"/>
        </w:rPr>
        <w:t>euro</w:t>
      </w:r>
      <w:proofErr w:type="spellEnd"/>
      <w:r w:rsidRPr="00A265B0">
        <w:rPr>
          <w:rFonts w:ascii="Cambria" w:hAnsi="Cambria"/>
          <w:sz w:val="24"/>
          <w:szCs w:val="24"/>
        </w:rPr>
        <w:t>)</w:t>
      </w:r>
    </w:p>
    <w:tbl>
      <w:tblPr>
        <w:tblStyle w:val="TableGrid"/>
        <w:tblW w:w="0" w:type="auto"/>
        <w:tblLook w:val="04A0" w:firstRow="1" w:lastRow="0" w:firstColumn="1" w:lastColumn="0" w:noHBand="0" w:noVBand="1"/>
      </w:tblPr>
      <w:tblGrid>
        <w:gridCol w:w="625"/>
        <w:gridCol w:w="2693"/>
        <w:gridCol w:w="1659"/>
        <w:gridCol w:w="1659"/>
        <w:gridCol w:w="1660"/>
      </w:tblGrid>
      <w:tr w:rsidR="00A265B0" w:rsidRPr="00A265B0" w14:paraId="1BB34177" w14:textId="77777777" w:rsidTr="00C14FBD">
        <w:tc>
          <w:tcPr>
            <w:tcW w:w="625" w:type="dxa"/>
          </w:tcPr>
          <w:p w14:paraId="1D0434FE" w14:textId="76CD626F" w:rsidR="00A265B0" w:rsidRPr="00A265B0" w:rsidRDefault="00A265B0" w:rsidP="00A265B0">
            <w:pPr>
              <w:rPr>
                <w:rFonts w:ascii="Cambria" w:hAnsi="Cambria"/>
                <w:sz w:val="24"/>
                <w:szCs w:val="24"/>
              </w:rPr>
            </w:pPr>
            <w:r w:rsidRPr="00A265B0">
              <w:rPr>
                <w:rFonts w:ascii="Cambria" w:hAnsi="Cambria"/>
                <w:sz w:val="24"/>
                <w:szCs w:val="24"/>
              </w:rPr>
              <w:t>Nr.</w:t>
            </w:r>
          </w:p>
        </w:tc>
        <w:tc>
          <w:tcPr>
            <w:tcW w:w="2693" w:type="dxa"/>
          </w:tcPr>
          <w:p w14:paraId="4571A6ED" w14:textId="115D45CB" w:rsidR="00A265B0" w:rsidRPr="00A265B0" w:rsidRDefault="00A265B0" w:rsidP="00A265B0">
            <w:pPr>
              <w:rPr>
                <w:rFonts w:ascii="Cambria" w:hAnsi="Cambria"/>
                <w:sz w:val="24"/>
                <w:szCs w:val="24"/>
              </w:rPr>
            </w:pPr>
            <w:r w:rsidRPr="00A265B0">
              <w:t>Rādītāji</w:t>
            </w:r>
          </w:p>
        </w:tc>
        <w:tc>
          <w:tcPr>
            <w:tcW w:w="1659" w:type="dxa"/>
          </w:tcPr>
          <w:p w14:paraId="341DA3D8" w14:textId="5D5689B8" w:rsidR="00A265B0" w:rsidRPr="00A265B0" w:rsidRDefault="00A265B0" w:rsidP="00A265B0">
            <w:pPr>
              <w:jc w:val="center"/>
              <w:rPr>
                <w:rFonts w:ascii="Cambria" w:hAnsi="Cambria"/>
                <w:sz w:val="24"/>
                <w:szCs w:val="24"/>
              </w:rPr>
            </w:pPr>
            <w:r w:rsidRPr="00A265B0">
              <w:rPr>
                <w:rFonts w:ascii="Cambria" w:hAnsi="Cambria"/>
                <w:sz w:val="24"/>
                <w:szCs w:val="24"/>
              </w:rPr>
              <w:t xml:space="preserve">ABC </w:t>
            </w:r>
            <w:proofErr w:type="spellStart"/>
            <w:r w:rsidRPr="00A265B0">
              <w:rPr>
                <w:rFonts w:ascii="Cambria" w:hAnsi="Cambria"/>
                <w:sz w:val="24"/>
                <w:szCs w:val="24"/>
              </w:rPr>
              <w:t>airline</w:t>
            </w:r>
            <w:proofErr w:type="spellEnd"/>
          </w:p>
        </w:tc>
        <w:tc>
          <w:tcPr>
            <w:tcW w:w="1659" w:type="dxa"/>
          </w:tcPr>
          <w:p w14:paraId="702375D3" w14:textId="606A04E7" w:rsidR="00A265B0" w:rsidRPr="00A265B0" w:rsidRDefault="00A265B0" w:rsidP="00A265B0">
            <w:pPr>
              <w:jc w:val="center"/>
              <w:rPr>
                <w:rFonts w:ascii="Cambria" w:hAnsi="Cambria"/>
                <w:sz w:val="24"/>
                <w:szCs w:val="24"/>
              </w:rPr>
            </w:pPr>
            <w:proofErr w:type="spellStart"/>
            <w:r w:rsidRPr="00A265B0">
              <w:rPr>
                <w:rFonts w:ascii="Cambria" w:hAnsi="Cambria"/>
                <w:sz w:val="24"/>
                <w:szCs w:val="24"/>
              </w:rPr>
              <w:t>Airline</w:t>
            </w:r>
            <w:proofErr w:type="spellEnd"/>
            <w:r w:rsidRPr="00A265B0">
              <w:rPr>
                <w:rFonts w:ascii="Cambria" w:hAnsi="Cambria"/>
                <w:sz w:val="24"/>
                <w:szCs w:val="24"/>
              </w:rPr>
              <w:t xml:space="preserve"> 1</w:t>
            </w:r>
          </w:p>
        </w:tc>
        <w:tc>
          <w:tcPr>
            <w:tcW w:w="1660" w:type="dxa"/>
          </w:tcPr>
          <w:p w14:paraId="1B6C101F" w14:textId="7D3A4C83" w:rsidR="00A265B0" w:rsidRPr="00A265B0" w:rsidRDefault="00A265B0" w:rsidP="00A265B0">
            <w:pPr>
              <w:jc w:val="center"/>
              <w:rPr>
                <w:rFonts w:ascii="Cambria" w:hAnsi="Cambria"/>
                <w:sz w:val="24"/>
                <w:szCs w:val="24"/>
              </w:rPr>
            </w:pPr>
            <w:proofErr w:type="spellStart"/>
            <w:r w:rsidRPr="00A265B0">
              <w:rPr>
                <w:rFonts w:ascii="Cambria" w:hAnsi="Cambria"/>
                <w:sz w:val="24"/>
                <w:szCs w:val="24"/>
              </w:rPr>
              <w:t>Airline</w:t>
            </w:r>
            <w:proofErr w:type="spellEnd"/>
            <w:r w:rsidRPr="00A265B0">
              <w:rPr>
                <w:rFonts w:ascii="Cambria" w:hAnsi="Cambria"/>
                <w:sz w:val="24"/>
                <w:szCs w:val="24"/>
              </w:rPr>
              <w:t xml:space="preserve"> 2</w:t>
            </w:r>
          </w:p>
        </w:tc>
      </w:tr>
      <w:tr w:rsidR="00A265B0" w:rsidRPr="00A265B0" w14:paraId="605C45AC" w14:textId="77777777" w:rsidTr="00C14FBD">
        <w:tc>
          <w:tcPr>
            <w:tcW w:w="625" w:type="dxa"/>
          </w:tcPr>
          <w:p w14:paraId="46E341A8" w14:textId="62728C20" w:rsidR="00A265B0" w:rsidRPr="00A265B0" w:rsidRDefault="00A265B0" w:rsidP="00A265B0">
            <w:pPr>
              <w:rPr>
                <w:rFonts w:ascii="Cambria" w:hAnsi="Cambria"/>
                <w:sz w:val="24"/>
                <w:szCs w:val="24"/>
              </w:rPr>
            </w:pPr>
            <w:r w:rsidRPr="00A265B0">
              <w:rPr>
                <w:rFonts w:ascii="Cambria" w:hAnsi="Cambria"/>
                <w:sz w:val="24"/>
                <w:szCs w:val="24"/>
              </w:rPr>
              <w:t>1.</w:t>
            </w:r>
          </w:p>
        </w:tc>
        <w:tc>
          <w:tcPr>
            <w:tcW w:w="2693" w:type="dxa"/>
          </w:tcPr>
          <w:p w14:paraId="175A9231" w14:textId="589CF6DA" w:rsidR="00A265B0" w:rsidRPr="00A265B0" w:rsidRDefault="00A265B0" w:rsidP="00A265B0">
            <w:pPr>
              <w:rPr>
                <w:rFonts w:ascii="Cambria" w:hAnsi="Cambria"/>
                <w:sz w:val="24"/>
                <w:szCs w:val="24"/>
              </w:rPr>
            </w:pPr>
            <w:r w:rsidRPr="00A265B0">
              <w:t>Pārdošanas ieņēmumi</w:t>
            </w:r>
          </w:p>
        </w:tc>
        <w:tc>
          <w:tcPr>
            <w:tcW w:w="1659" w:type="dxa"/>
          </w:tcPr>
          <w:p w14:paraId="08A71235" w14:textId="48C0CC43" w:rsidR="00A265B0" w:rsidRPr="00A265B0" w:rsidRDefault="00A265B0" w:rsidP="00A265B0">
            <w:pPr>
              <w:jc w:val="center"/>
              <w:rPr>
                <w:rFonts w:ascii="Cambria" w:hAnsi="Cambria"/>
                <w:sz w:val="24"/>
                <w:szCs w:val="24"/>
              </w:rPr>
            </w:pPr>
            <w:r w:rsidRPr="00A265B0">
              <w:rPr>
                <w:rFonts w:ascii="Cambria" w:hAnsi="Cambria"/>
                <w:sz w:val="24"/>
                <w:szCs w:val="24"/>
              </w:rPr>
              <w:t>10,56</w:t>
            </w:r>
          </w:p>
        </w:tc>
        <w:tc>
          <w:tcPr>
            <w:tcW w:w="1659" w:type="dxa"/>
          </w:tcPr>
          <w:p w14:paraId="0C723BC5" w14:textId="65F79369" w:rsidR="00A265B0" w:rsidRPr="00A265B0" w:rsidRDefault="00A265B0" w:rsidP="00A265B0">
            <w:pPr>
              <w:jc w:val="center"/>
              <w:rPr>
                <w:rFonts w:ascii="Cambria" w:hAnsi="Cambria"/>
                <w:sz w:val="24"/>
                <w:szCs w:val="24"/>
              </w:rPr>
            </w:pPr>
            <w:r w:rsidRPr="00A265B0">
              <w:rPr>
                <w:rFonts w:ascii="Cambria" w:hAnsi="Cambria"/>
                <w:sz w:val="24"/>
                <w:szCs w:val="24"/>
              </w:rPr>
              <w:t>7,15</w:t>
            </w:r>
          </w:p>
        </w:tc>
        <w:tc>
          <w:tcPr>
            <w:tcW w:w="1660" w:type="dxa"/>
          </w:tcPr>
          <w:p w14:paraId="156BB71B" w14:textId="51F7B3EC" w:rsidR="00A265B0" w:rsidRPr="00A265B0" w:rsidRDefault="00A265B0" w:rsidP="00A265B0">
            <w:pPr>
              <w:jc w:val="center"/>
              <w:rPr>
                <w:rFonts w:ascii="Cambria" w:hAnsi="Cambria"/>
                <w:sz w:val="24"/>
                <w:szCs w:val="24"/>
              </w:rPr>
            </w:pPr>
            <w:r w:rsidRPr="00A265B0">
              <w:rPr>
                <w:rFonts w:ascii="Cambria" w:hAnsi="Cambria"/>
                <w:sz w:val="24"/>
                <w:szCs w:val="24"/>
              </w:rPr>
              <w:t>6,90</w:t>
            </w:r>
          </w:p>
        </w:tc>
      </w:tr>
      <w:tr w:rsidR="00A265B0" w:rsidRPr="00A265B0" w14:paraId="0C6F20DB" w14:textId="77777777" w:rsidTr="00C14FBD">
        <w:tc>
          <w:tcPr>
            <w:tcW w:w="625" w:type="dxa"/>
          </w:tcPr>
          <w:p w14:paraId="4EE9C089" w14:textId="6DE04323" w:rsidR="00A265B0" w:rsidRPr="00A265B0" w:rsidRDefault="00A265B0" w:rsidP="00A265B0">
            <w:pPr>
              <w:rPr>
                <w:rFonts w:ascii="Cambria" w:hAnsi="Cambria"/>
                <w:sz w:val="24"/>
                <w:szCs w:val="24"/>
              </w:rPr>
            </w:pPr>
            <w:r w:rsidRPr="00A265B0">
              <w:rPr>
                <w:rFonts w:ascii="Cambria" w:hAnsi="Cambria"/>
                <w:sz w:val="24"/>
                <w:szCs w:val="24"/>
              </w:rPr>
              <w:t>2.</w:t>
            </w:r>
          </w:p>
        </w:tc>
        <w:tc>
          <w:tcPr>
            <w:tcW w:w="2693" w:type="dxa"/>
          </w:tcPr>
          <w:p w14:paraId="788C1491" w14:textId="3F27544A" w:rsidR="00A265B0" w:rsidRPr="00A265B0" w:rsidRDefault="00A265B0" w:rsidP="00A265B0">
            <w:pPr>
              <w:rPr>
                <w:rFonts w:ascii="Cambria" w:hAnsi="Cambria"/>
                <w:sz w:val="24"/>
                <w:szCs w:val="24"/>
              </w:rPr>
            </w:pPr>
            <w:r w:rsidRPr="00A265B0">
              <w:t>Mainīgās izmaksas</w:t>
            </w:r>
          </w:p>
        </w:tc>
        <w:tc>
          <w:tcPr>
            <w:tcW w:w="1659" w:type="dxa"/>
          </w:tcPr>
          <w:p w14:paraId="30FE05D9" w14:textId="5F9046C0" w:rsidR="00A265B0" w:rsidRPr="00A265B0" w:rsidRDefault="00A265B0" w:rsidP="00A265B0">
            <w:pPr>
              <w:jc w:val="center"/>
              <w:rPr>
                <w:rFonts w:ascii="Cambria" w:hAnsi="Cambria"/>
                <w:sz w:val="24"/>
                <w:szCs w:val="24"/>
              </w:rPr>
            </w:pPr>
            <w:r w:rsidRPr="00A265B0">
              <w:rPr>
                <w:rFonts w:ascii="Cambria" w:hAnsi="Cambria"/>
                <w:sz w:val="24"/>
                <w:szCs w:val="24"/>
              </w:rPr>
              <w:t>(4,17)</w:t>
            </w:r>
          </w:p>
        </w:tc>
        <w:tc>
          <w:tcPr>
            <w:tcW w:w="1659" w:type="dxa"/>
          </w:tcPr>
          <w:p w14:paraId="1C332363" w14:textId="7085C0D9" w:rsidR="00A265B0" w:rsidRPr="00A265B0" w:rsidRDefault="00A265B0" w:rsidP="00A265B0">
            <w:pPr>
              <w:jc w:val="center"/>
              <w:rPr>
                <w:rFonts w:ascii="Cambria" w:hAnsi="Cambria"/>
                <w:sz w:val="24"/>
                <w:szCs w:val="24"/>
              </w:rPr>
            </w:pPr>
            <w:r w:rsidRPr="00A265B0">
              <w:rPr>
                <w:rFonts w:ascii="Cambria" w:hAnsi="Cambria"/>
                <w:sz w:val="24"/>
                <w:szCs w:val="24"/>
              </w:rPr>
              <w:t>(2,91)</w:t>
            </w:r>
          </w:p>
        </w:tc>
        <w:tc>
          <w:tcPr>
            <w:tcW w:w="1660" w:type="dxa"/>
          </w:tcPr>
          <w:p w14:paraId="70E1405D" w14:textId="1172DA8A" w:rsidR="00A265B0" w:rsidRPr="00A265B0" w:rsidRDefault="00A265B0" w:rsidP="00A265B0">
            <w:pPr>
              <w:jc w:val="center"/>
              <w:rPr>
                <w:rFonts w:ascii="Cambria" w:hAnsi="Cambria"/>
                <w:sz w:val="24"/>
                <w:szCs w:val="24"/>
              </w:rPr>
            </w:pPr>
            <w:r w:rsidRPr="00A265B0">
              <w:rPr>
                <w:rFonts w:ascii="Cambria" w:hAnsi="Cambria"/>
                <w:sz w:val="24"/>
                <w:szCs w:val="24"/>
              </w:rPr>
              <w:t>(3,06)</w:t>
            </w:r>
          </w:p>
        </w:tc>
      </w:tr>
      <w:tr w:rsidR="00A265B0" w:rsidRPr="00A265B0" w14:paraId="5C6A558D" w14:textId="77777777" w:rsidTr="00C14FBD">
        <w:tc>
          <w:tcPr>
            <w:tcW w:w="625" w:type="dxa"/>
          </w:tcPr>
          <w:p w14:paraId="1E4C28C8" w14:textId="704DC446" w:rsidR="00A265B0" w:rsidRPr="00A265B0" w:rsidRDefault="00A265B0" w:rsidP="00A265B0">
            <w:pPr>
              <w:rPr>
                <w:rFonts w:ascii="Cambria" w:hAnsi="Cambria"/>
                <w:sz w:val="24"/>
                <w:szCs w:val="24"/>
              </w:rPr>
            </w:pPr>
            <w:r w:rsidRPr="00A265B0">
              <w:rPr>
                <w:rFonts w:ascii="Cambria" w:hAnsi="Cambria"/>
                <w:sz w:val="24"/>
                <w:szCs w:val="24"/>
              </w:rPr>
              <w:t>3.</w:t>
            </w:r>
          </w:p>
        </w:tc>
        <w:tc>
          <w:tcPr>
            <w:tcW w:w="2693" w:type="dxa"/>
          </w:tcPr>
          <w:p w14:paraId="6AC55579" w14:textId="4BC44A5A" w:rsidR="00A265B0" w:rsidRPr="00A265B0" w:rsidRDefault="00A265B0" w:rsidP="00A265B0">
            <w:pPr>
              <w:rPr>
                <w:rFonts w:ascii="Cambria" w:hAnsi="Cambria"/>
                <w:sz w:val="24"/>
                <w:szCs w:val="24"/>
              </w:rPr>
            </w:pPr>
            <w:r w:rsidRPr="00A265B0">
              <w:t>Ieguldījuma marža</w:t>
            </w:r>
          </w:p>
        </w:tc>
        <w:tc>
          <w:tcPr>
            <w:tcW w:w="1659" w:type="dxa"/>
          </w:tcPr>
          <w:p w14:paraId="2F6CF47A" w14:textId="75B38001" w:rsidR="00A265B0" w:rsidRPr="00A265B0" w:rsidRDefault="00A265B0" w:rsidP="00A265B0">
            <w:pPr>
              <w:jc w:val="center"/>
              <w:rPr>
                <w:rFonts w:ascii="Cambria" w:hAnsi="Cambria"/>
                <w:sz w:val="24"/>
                <w:szCs w:val="24"/>
              </w:rPr>
            </w:pPr>
            <w:r w:rsidRPr="00A265B0">
              <w:rPr>
                <w:rFonts w:ascii="Cambria" w:hAnsi="Cambria"/>
                <w:sz w:val="24"/>
                <w:szCs w:val="24"/>
              </w:rPr>
              <w:t>6,39</w:t>
            </w:r>
          </w:p>
        </w:tc>
        <w:tc>
          <w:tcPr>
            <w:tcW w:w="1659" w:type="dxa"/>
          </w:tcPr>
          <w:p w14:paraId="01EBA6FE" w14:textId="27241E97" w:rsidR="00A265B0" w:rsidRPr="00A265B0" w:rsidRDefault="00A265B0" w:rsidP="00A265B0">
            <w:pPr>
              <w:jc w:val="center"/>
              <w:rPr>
                <w:rFonts w:ascii="Cambria" w:hAnsi="Cambria"/>
                <w:sz w:val="24"/>
                <w:szCs w:val="24"/>
              </w:rPr>
            </w:pPr>
            <w:r w:rsidRPr="00A265B0">
              <w:rPr>
                <w:rFonts w:ascii="Cambria" w:hAnsi="Cambria"/>
                <w:sz w:val="24"/>
                <w:szCs w:val="24"/>
              </w:rPr>
              <w:t>4,24</w:t>
            </w:r>
          </w:p>
        </w:tc>
        <w:tc>
          <w:tcPr>
            <w:tcW w:w="1660" w:type="dxa"/>
          </w:tcPr>
          <w:p w14:paraId="48721A5E" w14:textId="6EFBDACC" w:rsidR="00A265B0" w:rsidRPr="00A265B0" w:rsidRDefault="00A265B0" w:rsidP="00A265B0">
            <w:pPr>
              <w:jc w:val="center"/>
              <w:rPr>
                <w:rFonts w:ascii="Cambria" w:hAnsi="Cambria"/>
                <w:sz w:val="24"/>
                <w:szCs w:val="24"/>
              </w:rPr>
            </w:pPr>
            <w:r w:rsidRPr="00A265B0">
              <w:rPr>
                <w:rFonts w:ascii="Cambria" w:hAnsi="Cambria"/>
                <w:sz w:val="24"/>
                <w:szCs w:val="24"/>
              </w:rPr>
              <w:t>3,84</w:t>
            </w:r>
          </w:p>
        </w:tc>
      </w:tr>
      <w:tr w:rsidR="00A265B0" w:rsidRPr="00A265B0" w14:paraId="1E54B6D6" w14:textId="77777777" w:rsidTr="00C14FBD">
        <w:tc>
          <w:tcPr>
            <w:tcW w:w="625" w:type="dxa"/>
          </w:tcPr>
          <w:p w14:paraId="7660E50D" w14:textId="19412994" w:rsidR="00A265B0" w:rsidRPr="00A265B0" w:rsidRDefault="00A265B0" w:rsidP="00A265B0">
            <w:pPr>
              <w:rPr>
                <w:rFonts w:ascii="Cambria" w:hAnsi="Cambria"/>
                <w:sz w:val="24"/>
                <w:szCs w:val="24"/>
              </w:rPr>
            </w:pPr>
            <w:r w:rsidRPr="00A265B0">
              <w:rPr>
                <w:rFonts w:ascii="Cambria" w:hAnsi="Cambria"/>
                <w:sz w:val="24"/>
                <w:szCs w:val="24"/>
              </w:rPr>
              <w:t xml:space="preserve">4. </w:t>
            </w:r>
          </w:p>
        </w:tc>
        <w:tc>
          <w:tcPr>
            <w:tcW w:w="2693" w:type="dxa"/>
          </w:tcPr>
          <w:p w14:paraId="7E4013F6" w14:textId="7B87024F" w:rsidR="00A265B0" w:rsidRPr="00A265B0" w:rsidRDefault="00A265B0" w:rsidP="00A265B0">
            <w:pPr>
              <w:rPr>
                <w:rFonts w:ascii="Cambria" w:hAnsi="Cambria"/>
                <w:sz w:val="24"/>
                <w:szCs w:val="24"/>
              </w:rPr>
            </w:pPr>
            <w:r w:rsidRPr="00A265B0">
              <w:t>Fiksētās izmaksas</w:t>
            </w:r>
          </w:p>
        </w:tc>
        <w:tc>
          <w:tcPr>
            <w:tcW w:w="1659" w:type="dxa"/>
          </w:tcPr>
          <w:p w14:paraId="7B4AC876" w14:textId="57C81AB0" w:rsidR="00A265B0" w:rsidRPr="00A265B0" w:rsidRDefault="00A265B0" w:rsidP="00A265B0">
            <w:pPr>
              <w:jc w:val="center"/>
              <w:rPr>
                <w:rFonts w:ascii="Cambria" w:hAnsi="Cambria"/>
                <w:sz w:val="24"/>
                <w:szCs w:val="24"/>
              </w:rPr>
            </w:pPr>
            <w:r w:rsidRPr="00A265B0">
              <w:rPr>
                <w:rFonts w:ascii="Cambria" w:hAnsi="Cambria"/>
                <w:sz w:val="24"/>
                <w:szCs w:val="24"/>
              </w:rPr>
              <w:t>(5,535)</w:t>
            </w:r>
          </w:p>
        </w:tc>
        <w:tc>
          <w:tcPr>
            <w:tcW w:w="1659" w:type="dxa"/>
          </w:tcPr>
          <w:p w14:paraId="7EF9600F" w14:textId="6C4877C7" w:rsidR="00A265B0" w:rsidRPr="00A265B0" w:rsidRDefault="00A265B0" w:rsidP="00A265B0">
            <w:pPr>
              <w:jc w:val="center"/>
              <w:rPr>
                <w:rFonts w:ascii="Cambria" w:hAnsi="Cambria"/>
                <w:sz w:val="24"/>
                <w:szCs w:val="24"/>
              </w:rPr>
            </w:pPr>
            <w:r w:rsidRPr="00A265B0">
              <w:rPr>
                <w:rFonts w:ascii="Cambria" w:hAnsi="Cambria"/>
                <w:sz w:val="24"/>
                <w:szCs w:val="24"/>
              </w:rPr>
              <w:t>(2,79)</w:t>
            </w:r>
          </w:p>
        </w:tc>
        <w:tc>
          <w:tcPr>
            <w:tcW w:w="1660" w:type="dxa"/>
          </w:tcPr>
          <w:p w14:paraId="3FE70FC4" w14:textId="3251ED1F" w:rsidR="00A265B0" w:rsidRPr="00A265B0" w:rsidRDefault="00A265B0" w:rsidP="00A265B0">
            <w:pPr>
              <w:jc w:val="center"/>
              <w:rPr>
                <w:rFonts w:ascii="Cambria" w:hAnsi="Cambria"/>
                <w:sz w:val="24"/>
                <w:szCs w:val="24"/>
              </w:rPr>
            </w:pPr>
            <w:r w:rsidRPr="00A265B0">
              <w:rPr>
                <w:rFonts w:ascii="Cambria" w:hAnsi="Cambria"/>
                <w:sz w:val="24"/>
                <w:szCs w:val="24"/>
              </w:rPr>
              <w:t>(2,81)</w:t>
            </w:r>
          </w:p>
        </w:tc>
      </w:tr>
      <w:tr w:rsidR="00A265B0" w:rsidRPr="00A265B0" w14:paraId="0C9D65FF" w14:textId="77777777" w:rsidTr="00C14FBD">
        <w:tc>
          <w:tcPr>
            <w:tcW w:w="625" w:type="dxa"/>
          </w:tcPr>
          <w:p w14:paraId="7ED1E322" w14:textId="00F2FEE7" w:rsidR="00A265B0" w:rsidRPr="00A265B0" w:rsidRDefault="00A265B0" w:rsidP="00A265B0">
            <w:pPr>
              <w:rPr>
                <w:rFonts w:ascii="Cambria" w:hAnsi="Cambria"/>
                <w:sz w:val="24"/>
                <w:szCs w:val="24"/>
              </w:rPr>
            </w:pPr>
            <w:r w:rsidRPr="00A265B0">
              <w:rPr>
                <w:rFonts w:ascii="Cambria" w:hAnsi="Cambria"/>
                <w:sz w:val="24"/>
                <w:szCs w:val="24"/>
              </w:rPr>
              <w:t>5.</w:t>
            </w:r>
          </w:p>
        </w:tc>
        <w:tc>
          <w:tcPr>
            <w:tcW w:w="2693" w:type="dxa"/>
          </w:tcPr>
          <w:p w14:paraId="550396E5" w14:textId="471E0626" w:rsidR="00A265B0" w:rsidRPr="00A265B0" w:rsidRDefault="00A265B0" w:rsidP="00A265B0">
            <w:pPr>
              <w:rPr>
                <w:rFonts w:ascii="Cambria" w:hAnsi="Cambria"/>
                <w:sz w:val="24"/>
                <w:szCs w:val="24"/>
              </w:rPr>
            </w:pPr>
            <w:r w:rsidRPr="00A265B0">
              <w:t>Neto ienākumi</w:t>
            </w:r>
          </w:p>
        </w:tc>
        <w:tc>
          <w:tcPr>
            <w:tcW w:w="1659" w:type="dxa"/>
          </w:tcPr>
          <w:p w14:paraId="05C0BFAA" w14:textId="6F810067" w:rsidR="00A265B0" w:rsidRPr="00A265B0" w:rsidRDefault="00A265B0" w:rsidP="00A265B0">
            <w:pPr>
              <w:jc w:val="center"/>
              <w:rPr>
                <w:rFonts w:ascii="Cambria" w:hAnsi="Cambria"/>
                <w:sz w:val="24"/>
                <w:szCs w:val="24"/>
              </w:rPr>
            </w:pPr>
            <w:r w:rsidRPr="00A265B0">
              <w:rPr>
                <w:rFonts w:ascii="Cambria" w:hAnsi="Cambria"/>
                <w:sz w:val="24"/>
                <w:szCs w:val="24"/>
              </w:rPr>
              <w:t>0,855</w:t>
            </w:r>
          </w:p>
        </w:tc>
        <w:tc>
          <w:tcPr>
            <w:tcW w:w="1659" w:type="dxa"/>
          </w:tcPr>
          <w:p w14:paraId="4E858285" w14:textId="17681C2A" w:rsidR="00A265B0" w:rsidRPr="00A265B0" w:rsidRDefault="00A265B0" w:rsidP="00A265B0">
            <w:pPr>
              <w:jc w:val="center"/>
              <w:rPr>
                <w:rFonts w:ascii="Cambria" w:hAnsi="Cambria"/>
                <w:sz w:val="24"/>
                <w:szCs w:val="24"/>
              </w:rPr>
            </w:pPr>
            <w:r w:rsidRPr="00A265B0">
              <w:rPr>
                <w:rFonts w:ascii="Cambria" w:hAnsi="Cambria"/>
                <w:sz w:val="24"/>
                <w:szCs w:val="24"/>
              </w:rPr>
              <w:t>1,45</w:t>
            </w:r>
          </w:p>
        </w:tc>
        <w:tc>
          <w:tcPr>
            <w:tcW w:w="1660" w:type="dxa"/>
          </w:tcPr>
          <w:p w14:paraId="72ED1722" w14:textId="460CCE6A" w:rsidR="00A265B0" w:rsidRPr="00A265B0" w:rsidRDefault="00A265B0" w:rsidP="00A265B0">
            <w:pPr>
              <w:jc w:val="center"/>
              <w:rPr>
                <w:rFonts w:ascii="Cambria" w:hAnsi="Cambria"/>
                <w:sz w:val="24"/>
                <w:szCs w:val="24"/>
              </w:rPr>
            </w:pPr>
            <w:r w:rsidRPr="00A265B0">
              <w:rPr>
                <w:rFonts w:ascii="Cambria" w:hAnsi="Cambria"/>
                <w:sz w:val="24"/>
                <w:szCs w:val="24"/>
              </w:rPr>
              <w:t>1,03</w:t>
            </w:r>
          </w:p>
        </w:tc>
      </w:tr>
    </w:tbl>
    <w:p w14:paraId="631A193C" w14:textId="77777777" w:rsidR="007E50A9" w:rsidRPr="00A265B0" w:rsidRDefault="007E50A9" w:rsidP="007C2836">
      <w:pPr>
        <w:spacing w:after="0" w:line="240" w:lineRule="auto"/>
        <w:rPr>
          <w:rFonts w:ascii="Cambria" w:hAnsi="Cambria"/>
          <w:sz w:val="24"/>
          <w:szCs w:val="24"/>
        </w:rPr>
      </w:pPr>
    </w:p>
    <w:p w14:paraId="56FEAE04" w14:textId="77777777" w:rsidR="00A265B0" w:rsidRPr="00A265B0" w:rsidRDefault="00A265B0" w:rsidP="00A265B0">
      <w:pPr>
        <w:rPr>
          <w:rFonts w:ascii="Cambria" w:hAnsi="Cambria"/>
          <w:b/>
          <w:sz w:val="24"/>
          <w:szCs w:val="24"/>
        </w:rPr>
      </w:pPr>
      <w:r w:rsidRPr="00A265B0">
        <w:rPr>
          <w:rFonts w:ascii="Cambria" w:hAnsi="Cambria"/>
          <w:b/>
          <w:sz w:val="24"/>
          <w:szCs w:val="24"/>
        </w:rPr>
        <w:t>Gadījuma jautājumi:</w:t>
      </w:r>
    </w:p>
    <w:p w14:paraId="0366A3E7" w14:textId="4F87E328" w:rsidR="00A265B0" w:rsidRPr="00A265B0" w:rsidRDefault="00A265B0" w:rsidP="00A265B0">
      <w:pPr>
        <w:rPr>
          <w:rFonts w:ascii="Cambria" w:hAnsi="Cambria"/>
          <w:sz w:val="24"/>
          <w:szCs w:val="24"/>
        </w:rPr>
      </w:pPr>
      <w:r w:rsidRPr="00A265B0">
        <w:rPr>
          <w:rFonts w:ascii="Cambria" w:hAnsi="Cambria"/>
          <w:sz w:val="24"/>
          <w:szCs w:val="24"/>
        </w:rPr>
        <w:t>1.</w:t>
      </w:r>
      <w:r w:rsidRPr="00A265B0">
        <w:rPr>
          <w:rFonts w:ascii="Cambria" w:hAnsi="Cambria"/>
          <w:sz w:val="24"/>
          <w:szCs w:val="24"/>
        </w:rPr>
        <w:t xml:space="preserve"> </w:t>
      </w:r>
      <w:r w:rsidRPr="00A265B0">
        <w:rPr>
          <w:rFonts w:ascii="Cambria" w:hAnsi="Cambria"/>
          <w:sz w:val="24"/>
          <w:szCs w:val="24"/>
        </w:rPr>
        <w:t xml:space="preserve"> jautājums</w:t>
      </w:r>
      <w:r w:rsidRPr="00A265B0">
        <w:rPr>
          <w:rFonts w:ascii="Cambria" w:hAnsi="Cambria"/>
          <w:sz w:val="24"/>
          <w:szCs w:val="24"/>
        </w:rPr>
        <w:t xml:space="preserve">: </w:t>
      </w:r>
      <w:r w:rsidRPr="00A265B0">
        <w:rPr>
          <w:rFonts w:ascii="Cambria" w:hAnsi="Cambria"/>
          <w:sz w:val="24"/>
          <w:szCs w:val="24"/>
        </w:rPr>
        <w:t xml:space="preserve">Kāds ir peļņas un zaudējumu slieksnis katrai aviokompānijai? </w:t>
      </w:r>
    </w:p>
    <w:p w14:paraId="13AA7D3C" w14:textId="77777777" w:rsidR="00A265B0" w:rsidRPr="00A265B0" w:rsidRDefault="00A265B0" w:rsidP="00A265B0">
      <w:pPr>
        <w:rPr>
          <w:rFonts w:ascii="Cambria" w:hAnsi="Cambria"/>
          <w:sz w:val="24"/>
          <w:szCs w:val="24"/>
        </w:rPr>
      </w:pPr>
      <w:r w:rsidRPr="00A265B0">
        <w:rPr>
          <w:rFonts w:ascii="Cambria" w:hAnsi="Cambria"/>
          <w:sz w:val="24"/>
          <w:szCs w:val="24"/>
        </w:rPr>
        <w:t xml:space="preserve">2. jautājums: Salīdziniet trīs uzņēmumu rādītājus un paskaidrojiet, kurš uzņēmums ir riskantāks. </w:t>
      </w:r>
    </w:p>
    <w:p w14:paraId="605FC756" w14:textId="0E930FA3" w:rsidR="00010FE4" w:rsidRPr="00A265B0" w:rsidRDefault="00A265B0" w:rsidP="00A265B0">
      <w:pPr>
        <w:rPr>
          <w:rFonts w:ascii="Cambria" w:hAnsi="Cambria"/>
          <w:sz w:val="24"/>
          <w:szCs w:val="24"/>
        </w:rPr>
      </w:pPr>
      <w:r w:rsidRPr="00A265B0">
        <w:rPr>
          <w:rFonts w:ascii="Cambria" w:hAnsi="Cambria"/>
          <w:sz w:val="24"/>
          <w:szCs w:val="24"/>
        </w:rPr>
        <w:t>3. jautājums: Kādēļ aviosabiedrības vadītājiem peļņas un zaudējumu līmeņa analīze varētu būt noderīga uzņēmējdarbības vadībai?</w:t>
      </w:r>
    </w:p>
    <w:sectPr w:rsidR="00010FE4" w:rsidRPr="00A265B0" w:rsidSect="00C059C3">
      <w:pgSz w:w="11906" w:h="16838"/>
      <w:pgMar w:top="720" w:right="72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346E" w14:textId="77777777" w:rsidR="001A7CD8" w:rsidRDefault="001A7CD8" w:rsidP="00C059C3">
      <w:pPr>
        <w:spacing w:after="0" w:line="240" w:lineRule="auto"/>
      </w:pPr>
      <w:r>
        <w:separator/>
      </w:r>
    </w:p>
  </w:endnote>
  <w:endnote w:type="continuationSeparator" w:id="0">
    <w:p w14:paraId="71030102" w14:textId="77777777" w:rsidR="001A7CD8" w:rsidRDefault="001A7CD8" w:rsidP="00C0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CB832" w14:textId="77777777" w:rsidR="001A7CD8" w:rsidRDefault="001A7CD8" w:rsidP="00C059C3">
      <w:pPr>
        <w:spacing w:after="0" w:line="240" w:lineRule="auto"/>
      </w:pPr>
      <w:r>
        <w:separator/>
      </w:r>
    </w:p>
  </w:footnote>
  <w:footnote w:type="continuationSeparator" w:id="0">
    <w:p w14:paraId="7DF49062" w14:textId="77777777" w:rsidR="001A7CD8" w:rsidRDefault="001A7CD8" w:rsidP="00C0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F7A"/>
    <w:multiLevelType w:val="multilevel"/>
    <w:tmpl w:val="F7201D7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114B10DD"/>
    <w:multiLevelType w:val="hybridMultilevel"/>
    <w:tmpl w:val="1ED67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1E6D57"/>
    <w:multiLevelType w:val="hybridMultilevel"/>
    <w:tmpl w:val="3B5CCCCC"/>
    <w:lvl w:ilvl="0" w:tplc="6568C31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25B23"/>
    <w:multiLevelType w:val="hybridMultilevel"/>
    <w:tmpl w:val="6EA41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75A23"/>
    <w:multiLevelType w:val="hybridMultilevel"/>
    <w:tmpl w:val="7166D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E7808"/>
    <w:multiLevelType w:val="hybridMultilevel"/>
    <w:tmpl w:val="E9EA691A"/>
    <w:lvl w:ilvl="0" w:tplc="09160C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C0420"/>
    <w:multiLevelType w:val="multilevel"/>
    <w:tmpl w:val="F7201D7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7" w15:restartNumberingAfterBreak="0">
    <w:nsid w:val="5D8741F9"/>
    <w:multiLevelType w:val="hybridMultilevel"/>
    <w:tmpl w:val="CBCA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605BB"/>
    <w:multiLevelType w:val="hybridMultilevel"/>
    <w:tmpl w:val="4BE2A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70E08"/>
    <w:multiLevelType w:val="hybridMultilevel"/>
    <w:tmpl w:val="AB0A2364"/>
    <w:lvl w:ilvl="0" w:tplc="060EADB6">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8"/>
  </w:num>
  <w:num w:numId="6">
    <w:abstractNumId w:val="5"/>
  </w:num>
  <w:num w:numId="7">
    <w:abstractNumId w:val="9"/>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58"/>
    <w:rsid w:val="00010FE4"/>
    <w:rsid w:val="000127F2"/>
    <w:rsid w:val="00014E98"/>
    <w:rsid w:val="00024474"/>
    <w:rsid w:val="00027D20"/>
    <w:rsid w:val="00042699"/>
    <w:rsid w:val="00053048"/>
    <w:rsid w:val="00066510"/>
    <w:rsid w:val="00072A9B"/>
    <w:rsid w:val="00072AF6"/>
    <w:rsid w:val="000908F4"/>
    <w:rsid w:val="00091F5C"/>
    <w:rsid w:val="00096AEE"/>
    <w:rsid w:val="000A2C04"/>
    <w:rsid w:val="000A6237"/>
    <w:rsid w:val="000B07FF"/>
    <w:rsid w:val="000B33B0"/>
    <w:rsid w:val="000E1662"/>
    <w:rsid w:val="000E6DB9"/>
    <w:rsid w:val="00101C82"/>
    <w:rsid w:val="001117C7"/>
    <w:rsid w:val="00137100"/>
    <w:rsid w:val="00140336"/>
    <w:rsid w:val="00142068"/>
    <w:rsid w:val="00153253"/>
    <w:rsid w:val="0017035B"/>
    <w:rsid w:val="001915FB"/>
    <w:rsid w:val="00192582"/>
    <w:rsid w:val="001A02E9"/>
    <w:rsid w:val="001A3C34"/>
    <w:rsid w:val="001A7CD8"/>
    <w:rsid w:val="001D0778"/>
    <w:rsid w:val="001D5DE3"/>
    <w:rsid w:val="001D6FB4"/>
    <w:rsid w:val="001F6BBF"/>
    <w:rsid w:val="001F7796"/>
    <w:rsid w:val="00215368"/>
    <w:rsid w:val="002225D4"/>
    <w:rsid w:val="00222F47"/>
    <w:rsid w:val="002264F5"/>
    <w:rsid w:val="00237A63"/>
    <w:rsid w:val="00237CB1"/>
    <w:rsid w:val="00244295"/>
    <w:rsid w:val="00256494"/>
    <w:rsid w:val="002578A7"/>
    <w:rsid w:val="00265CA5"/>
    <w:rsid w:val="0026660B"/>
    <w:rsid w:val="002817A6"/>
    <w:rsid w:val="00293AEE"/>
    <w:rsid w:val="002D0B9A"/>
    <w:rsid w:val="002E0926"/>
    <w:rsid w:val="00311BAF"/>
    <w:rsid w:val="003447D5"/>
    <w:rsid w:val="00355B82"/>
    <w:rsid w:val="003569A4"/>
    <w:rsid w:val="00373307"/>
    <w:rsid w:val="0038271E"/>
    <w:rsid w:val="003B66E2"/>
    <w:rsid w:val="003C6A4A"/>
    <w:rsid w:val="003D0D3E"/>
    <w:rsid w:val="003D40CD"/>
    <w:rsid w:val="003D4AE3"/>
    <w:rsid w:val="004103A5"/>
    <w:rsid w:val="0044344E"/>
    <w:rsid w:val="004552F3"/>
    <w:rsid w:val="00467E24"/>
    <w:rsid w:val="00475EBC"/>
    <w:rsid w:val="004926EA"/>
    <w:rsid w:val="004A33B0"/>
    <w:rsid w:val="004A599A"/>
    <w:rsid w:val="004B2D83"/>
    <w:rsid w:val="004C2B0B"/>
    <w:rsid w:val="004C684B"/>
    <w:rsid w:val="004D2A00"/>
    <w:rsid w:val="004D5125"/>
    <w:rsid w:val="004F7003"/>
    <w:rsid w:val="00501B98"/>
    <w:rsid w:val="00523A92"/>
    <w:rsid w:val="00525B49"/>
    <w:rsid w:val="0052608C"/>
    <w:rsid w:val="00531B45"/>
    <w:rsid w:val="00543207"/>
    <w:rsid w:val="00544EB5"/>
    <w:rsid w:val="00551CE2"/>
    <w:rsid w:val="00563FB6"/>
    <w:rsid w:val="0058330D"/>
    <w:rsid w:val="005849BC"/>
    <w:rsid w:val="005B1D6F"/>
    <w:rsid w:val="005C2708"/>
    <w:rsid w:val="005D2E5B"/>
    <w:rsid w:val="005F382D"/>
    <w:rsid w:val="00607231"/>
    <w:rsid w:val="00611A23"/>
    <w:rsid w:val="006128EA"/>
    <w:rsid w:val="0062287C"/>
    <w:rsid w:val="00636CB1"/>
    <w:rsid w:val="006401C3"/>
    <w:rsid w:val="006423A7"/>
    <w:rsid w:val="006425A9"/>
    <w:rsid w:val="00643A65"/>
    <w:rsid w:val="006449AF"/>
    <w:rsid w:val="00650F02"/>
    <w:rsid w:val="006517E0"/>
    <w:rsid w:val="00655B58"/>
    <w:rsid w:val="00656E82"/>
    <w:rsid w:val="00682992"/>
    <w:rsid w:val="0069034F"/>
    <w:rsid w:val="006A12AD"/>
    <w:rsid w:val="006A1E1E"/>
    <w:rsid w:val="006D12AB"/>
    <w:rsid w:val="006D6504"/>
    <w:rsid w:val="006F0E6B"/>
    <w:rsid w:val="006F4BE9"/>
    <w:rsid w:val="00712AD4"/>
    <w:rsid w:val="00725634"/>
    <w:rsid w:val="0073412E"/>
    <w:rsid w:val="00736F05"/>
    <w:rsid w:val="0074016A"/>
    <w:rsid w:val="00766B43"/>
    <w:rsid w:val="00770162"/>
    <w:rsid w:val="0079430C"/>
    <w:rsid w:val="007A4A8C"/>
    <w:rsid w:val="007A6B29"/>
    <w:rsid w:val="007C2836"/>
    <w:rsid w:val="007C51FE"/>
    <w:rsid w:val="007C7AAF"/>
    <w:rsid w:val="007D0AE2"/>
    <w:rsid w:val="007E50A9"/>
    <w:rsid w:val="007F2F71"/>
    <w:rsid w:val="007F5A3A"/>
    <w:rsid w:val="00816ECB"/>
    <w:rsid w:val="00822370"/>
    <w:rsid w:val="0083286D"/>
    <w:rsid w:val="008462B9"/>
    <w:rsid w:val="008512BF"/>
    <w:rsid w:val="00865417"/>
    <w:rsid w:val="0088085C"/>
    <w:rsid w:val="00892378"/>
    <w:rsid w:val="00893535"/>
    <w:rsid w:val="00894789"/>
    <w:rsid w:val="008B7EC1"/>
    <w:rsid w:val="008C4B17"/>
    <w:rsid w:val="008E555D"/>
    <w:rsid w:val="008E6609"/>
    <w:rsid w:val="008F7DEE"/>
    <w:rsid w:val="00900375"/>
    <w:rsid w:val="0092473B"/>
    <w:rsid w:val="00951B19"/>
    <w:rsid w:val="00967DB4"/>
    <w:rsid w:val="00985848"/>
    <w:rsid w:val="00990A5E"/>
    <w:rsid w:val="00994AFE"/>
    <w:rsid w:val="009D48B1"/>
    <w:rsid w:val="009E52B4"/>
    <w:rsid w:val="009E5A62"/>
    <w:rsid w:val="009E7241"/>
    <w:rsid w:val="00A01F67"/>
    <w:rsid w:val="00A10EE9"/>
    <w:rsid w:val="00A17879"/>
    <w:rsid w:val="00A234C9"/>
    <w:rsid w:val="00A250C5"/>
    <w:rsid w:val="00A265B0"/>
    <w:rsid w:val="00A306E9"/>
    <w:rsid w:val="00A41FA7"/>
    <w:rsid w:val="00A73F45"/>
    <w:rsid w:val="00A761C4"/>
    <w:rsid w:val="00A80BFC"/>
    <w:rsid w:val="00A85A98"/>
    <w:rsid w:val="00A90A87"/>
    <w:rsid w:val="00AC09F7"/>
    <w:rsid w:val="00B00600"/>
    <w:rsid w:val="00B01231"/>
    <w:rsid w:val="00B0639D"/>
    <w:rsid w:val="00B11EEE"/>
    <w:rsid w:val="00B2365F"/>
    <w:rsid w:val="00B31F69"/>
    <w:rsid w:val="00B34A96"/>
    <w:rsid w:val="00B3667B"/>
    <w:rsid w:val="00B50810"/>
    <w:rsid w:val="00B64E4C"/>
    <w:rsid w:val="00B73E9E"/>
    <w:rsid w:val="00B7579E"/>
    <w:rsid w:val="00B75A27"/>
    <w:rsid w:val="00B86D30"/>
    <w:rsid w:val="00BA1AF1"/>
    <w:rsid w:val="00BF23D6"/>
    <w:rsid w:val="00BF4BD9"/>
    <w:rsid w:val="00C00D20"/>
    <w:rsid w:val="00C03BD5"/>
    <w:rsid w:val="00C059C3"/>
    <w:rsid w:val="00C10F45"/>
    <w:rsid w:val="00C146E1"/>
    <w:rsid w:val="00C14FBD"/>
    <w:rsid w:val="00C1717E"/>
    <w:rsid w:val="00C36F29"/>
    <w:rsid w:val="00C61B64"/>
    <w:rsid w:val="00C95DB7"/>
    <w:rsid w:val="00C9611B"/>
    <w:rsid w:val="00C97D44"/>
    <w:rsid w:val="00CA0EE3"/>
    <w:rsid w:val="00CA4C90"/>
    <w:rsid w:val="00CD55EF"/>
    <w:rsid w:val="00CF13A1"/>
    <w:rsid w:val="00D07A56"/>
    <w:rsid w:val="00D17578"/>
    <w:rsid w:val="00D176C1"/>
    <w:rsid w:val="00D251F1"/>
    <w:rsid w:val="00D25AD6"/>
    <w:rsid w:val="00D50DCB"/>
    <w:rsid w:val="00D64DB6"/>
    <w:rsid w:val="00D81B07"/>
    <w:rsid w:val="00D91251"/>
    <w:rsid w:val="00D916B0"/>
    <w:rsid w:val="00D9545A"/>
    <w:rsid w:val="00DA53EA"/>
    <w:rsid w:val="00DB0801"/>
    <w:rsid w:val="00DB6ACE"/>
    <w:rsid w:val="00DC26EF"/>
    <w:rsid w:val="00DF2E3A"/>
    <w:rsid w:val="00E07816"/>
    <w:rsid w:val="00E10555"/>
    <w:rsid w:val="00E26921"/>
    <w:rsid w:val="00E27D46"/>
    <w:rsid w:val="00E34AAD"/>
    <w:rsid w:val="00E606CE"/>
    <w:rsid w:val="00E663AD"/>
    <w:rsid w:val="00E906FE"/>
    <w:rsid w:val="00E91F6F"/>
    <w:rsid w:val="00E97C43"/>
    <w:rsid w:val="00EA2433"/>
    <w:rsid w:val="00EB0064"/>
    <w:rsid w:val="00EB0A15"/>
    <w:rsid w:val="00EB6112"/>
    <w:rsid w:val="00EB6DA6"/>
    <w:rsid w:val="00EC00EA"/>
    <w:rsid w:val="00EC38DE"/>
    <w:rsid w:val="00EC651E"/>
    <w:rsid w:val="00ED5182"/>
    <w:rsid w:val="00ED60ED"/>
    <w:rsid w:val="00ED7CA2"/>
    <w:rsid w:val="00EE3451"/>
    <w:rsid w:val="00EE3B70"/>
    <w:rsid w:val="00EE7CA7"/>
    <w:rsid w:val="00EF23AF"/>
    <w:rsid w:val="00F0048F"/>
    <w:rsid w:val="00F061CF"/>
    <w:rsid w:val="00F063B2"/>
    <w:rsid w:val="00F14893"/>
    <w:rsid w:val="00F208A6"/>
    <w:rsid w:val="00F246AF"/>
    <w:rsid w:val="00F35EE1"/>
    <w:rsid w:val="00F42177"/>
    <w:rsid w:val="00F45108"/>
    <w:rsid w:val="00F57904"/>
    <w:rsid w:val="00F71AB0"/>
    <w:rsid w:val="00F80AEC"/>
    <w:rsid w:val="00F85A59"/>
    <w:rsid w:val="00F87AC8"/>
    <w:rsid w:val="00F928BE"/>
    <w:rsid w:val="00F968F6"/>
    <w:rsid w:val="00FA558A"/>
    <w:rsid w:val="00FA606D"/>
    <w:rsid w:val="00FE1915"/>
    <w:rsid w:val="00FF1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2487"/>
  <w15:docId w15:val="{D7379F6F-B625-4546-8E47-B1F51B7C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58"/>
    <w:rPr>
      <w:rFonts w:ascii="Tahoma" w:hAnsi="Tahoma" w:cs="Tahoma"/>
      <w:sz w:val="16"/>
      <w:szCs w:val="16"/>
    </w:rPr>
  </w:style>
  <w:style w:type="paragraph" w:styleId="ListParagraph">
    <w:name w:val="List Paragraph"/>
    <w:basedOn w:val="Normal"/>
    <w:uiPriority w:val="34"/>
    <w:qFormat/>
    <w:rsid w:val="009E7241"/>
    <w:pPr>
      <w:ind w:left="720"/>
      <w:contextualSpacing/>
    </w:pPr>
  </w:style>
  <w:style w:type="character" w:customStyle="1" w:styleId="st">
    <w:name w:val="st"/>
    <w:basedOn w:val="DefaultParagraphFont"/>
    <w:rsid w:val="0052608C"/>
  </w:style>
  <w:style w:type="table" w:styleId="TableGrid">
    <w:name w:val="Table Grid"/>
    <w:basedOn w:val="TableNormal"/>
    <w:uiPriority w:val="59"/>
    <w:rsid w:val="00E9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06FE"/>
    <w:rPr>
      <w:color w:val="808080"/>
    </w:rPr>
  </w:style>
  <w:style w:type="character" w:styleId="Hyperlink">
    <w:name w:val="Hyperlink"/>
    <w:basedOn w:val="DefaultParagraphFont"/>
    <w:uiPriority w:val="99"/>
    <w:semiHidden/>
    <w:unhideWhenUsed/>
    <w:rsid w:val="004F7003"/>
    <w:rPr>
      <w:color w:val="0000FF"/>
      <w:u w:val="single"/>
    </w:rPr>
  </w:style>
  <w:style w:type="paragraph" w:styleId="NormalWeb">
    <w:name w:val="Normal (Web)"/>
    <w:basedOn w:val="Normal"/>
    <w:uiPriority w:val="99"/>
    <w:semiHidden/>
    <w:unhideWhenUsed/>
    <w:rsid w:val="007256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25634"/>
    <w:rPr>
      <w:color w:val="800080" w:themeColor="followedHyperlink"/>
      <w:u w:val="single"/>
    </w:rPr>
  </w:style>
  <w:style w:type="character" w:styleId="Strong">
    <w:name w:val="Strong"/>
    <w:basedOn w:val="DefaultParagraphFont"/>
    <w:uiPriority w:val="22"/>
    <w:qFormat/>
    <w:rsid w:val="00770162"/>
    <w:rPr>
      <w:b/>
      <w:bCs/>
    </w:rPr>
  </w:style>
  <w:style w:type="character" w:styleId="Emphasis">
    <w:name w:val="Emphasis"/>
    <w:basedOn w:val="DefaultParagraphFont"/>
    <w:uiPriority w:val="20"/>
    <w:qFormat/>
    <w:rsid w:val="00A90A87"/>
    <w:rPr>
      <w:i/>
      <w:iCs/>
    </w:rPr>
  </w:style>
  <w:style w:type="paragraph" w:styleId="Header">
    <w:name w:val="header"/>
    <w:basedOn w:val="Normal"/>
    <w:link w:val="HeaderChar"/>
    <w:uiPriority w:val="99"/>
    <w:unhideWhenUsed/>
    <w:rsid w:val="00C05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9C3"/>
  </w:style>
  <w:style w:type="paragraph" w:styleId="Footer">
    <w:name w:val="footer"/>
    <w:basedOn w:val="Normal"/>
    <w:link w:val="FooterChar"/>
    <w:uiPriority w:val="99"/>
    <w:unhideWhenUsed/>
    <w:rsid w:val="00C05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7802">
      <w:bodyDiv w:val="1"/>
      <w:marLeft w:val="0"/>
      <w:marRight w:val="0"/>
      <w:marTop w:val="0"/>
      <w:marBottom w:val="0"/>
      <w:divBdr>
        <w:top w:val="none" w:sz="0" w:space="0" w:color="auto"/>
        <w:left w:val="none" w:sz="0" w:space="0" w:color="auto"/>
        <w:bottom w:val="none" w:sz="0" w:space="0" w:color="auto"/>
        <w:right w:val="none" w:sz="0" w:space="0" w:color="auto"/>
      </w:divBdr>
    </w:div>
    <w:div w:id="285356258">
      <w:bodyDiv w:val="1"/>
      <w:marLeft w:val="0"/>
      <w:marRight w:val="0"/>
      <w:marTop w:val="0"/>
      <w:marBottom w:val="0"/>
      <w:divBdr>
        <w:top w:val="none" w:sz="0" w:space="0" w:color="auto"/>
        <w:left w:val="none" w:sz="0" w:space="0" w:color="auto"/>
        <w:bottom w:val="none" w:sz="0" w:space="0" w:color="auto"/>
        <w:right w:val="none" w:sz="0" w:space="0" w:color="auto"/>
      </w:divBdr>
    </w:div>
    <w:div w:id="364141780">
      <w:bodyDiv w:val="1"/>
      <w:marLeft w:val="0"/>
      <w:marRight w:val="0"/>
      <w:marTop w:val="0"/>
      <w:marBottom w:val="0"/>
      <w:divBdr>
        <w:top w:val="none" w:sz="0" w:space="0" w:color="auto"/>
        <w:left w:val="none" w:sz="0" w:space="0" w:color="auto"/>
        <w:bottom w:val="none" w:sz="0" w:space="0" w:color="auto"/>
        <w:right w:val="none" w:sz="0" w:space="0" w:color="auto"/>
      </w:divBdr>
      <w:divsChild>
        <w:div w:id="161049823">
          <w:marLeft w:val="0"/>
          <w:marRight w:val="0"/>
          <w:marTop w:val="0"/>
          <w:marBottom w:val="0"/>
          <w:divBdr>
            <w:top w:val="none" w:sz="0" w:space="0" w:color="auto"/>
            <w:left w:val="none" w:sz="0" w:space="0" w:color="auto"/>
            <w:bottom w:val="none" w:sz="0" w:space="0" w:color="auto"/>
            <w:right w:val="none" w:sz="0" w:space="0" w:color="auto"/>
          </w:divBdr>
        </w:div>
        <w:div w:id="1608736852">
          <w:marLeft w:val="0"/>
          <w:marRight w:val="0"/>
          <w:marTop w:val="0"/>
          <w:marBottom w:val="0"/>
          <w:divBdr>
            <w:top w:val="none" w:sz="0" w:space="0" w:color="auto"/>
            <w:left w:val="none" w:sz="0" w:space="0" w:color="auto"/>
            <w:bottom w:val="none" w:sz="0" w:space="0" w:color="auto"/>
            <w:right w:val="none" w:sz="0" w:space="0" w:color="auto"/>
          </w:divBdr>
        </w:div>
      </w:divsChild>
    </w:div>
    <w:div w:id="508911437">
      <w:bodyDiv w:val="1"/>
      <w:marLeft w:val="0"/>
      <w:marRight w:val="0"/>
      <w:marTop w:val="0"/>
      <w:marBottom w:val="0"/>
      <w:divBdr>
        <w:top w:val="none" w:sz="0" w:space="0" w:color="auto"/>
        <w:left w:val="none" w:sz="0" w:space="0" w:color="auto"/>
        <w:bottom w:val="none" w:sz="0" w:space="0" w:color="auto"/>
        <w:right w:val="none" w:sz="0" w:space="0" w:color="auto"/>
      </w:divBdr>
    </w:div>
    <w:div w:id="516236664">
      <w:bodyDiv w:val="1"/>
      <w:marLeft w:val="0"/>
      <w:marRight w:val="0"/>
      <w:marTop w:val="0"/>
      <w:marBottom w:val="0"/>
      <w:divBdr>
        <w:top w:val="none" w:sz="0" w:space="0" w:color="auto"/>
        <w:left w:val="none" w:sz="0" w:space="0" w:color="auto"/>
        <w:bottom w:val="none" w:sz="0" w:space="0" w:color="auto"/>
        <w:right w:val="none" w:sz="0" w:space="0" w:color="auto"/>
      </w:divBdr>
    </w:div>
    <w:div w:id="582496165">
      <w:bodyDiv w:val="1"/>
      <w:marLeft w:val="0"/>
      <w:marRight w:val="0"/>
      <w:marTop w:val="0"/>
      <w:marBottom w:val="0"/>
      <w:divBdr>
        <w:top w:val="none" w:sz="0" w:space="0" w:color="auto"/>
        <w:left w:val="none" w:sz="0" w:space="0" w:color="auto"/>
        <w:bottom w:val="none" w:sz="0" w:space="0" w:color="auto"/>
        <w:right w:val="none" w:sz="0" w:space="0" w:color="auto"/>
      </w:divBdr>
    </w:div>
    <w:div w:id="770201760">
      <w:bodyDiv w:val="1"/>
      <w:marLeft w:val="0"/>
      <w:marRight w:val="0"/>
      <w:marTop w:val="0"/>
      <w:marBottom w:val="0"/>
      <w:divBdr>
        <w:top w:val="none" w:sz="0" w:space="0" w:color="auto"/>
        <w:left w:val="none" w:sz="0" w:space="0" w:color="auto"/>
        <w:bottom w:val="none" w:sz="0" w:space="0" w:color="auto"/>
        <w:right w:val="none" w:sz="0" w:space="0" w:color="auto"/>
      </w:divBdr>
    </w:div>
    <w:div w:id="790561181">
      <w:bodyDiv w:val="1"/>
      <w:marLeft w:val="0"/>
      <w:marRight w:val="0"/>
      <w:marTop w:val="0"/>
      <w:marBottom w:val="0"/>
      <w:divBdr>
        <w:top w:val="none" w:sz="0" w:space="0" w:color="auto"/>
        <w:left w:val="none" w:sz="0" w:space="0" w:color="auto"/>
        <w:bottom w:val="none" w:sz="0" w:space="0" w:color="auto"/>
        <w:right w:val="none" w:sz="0" w:space="0" w:color="auto"/>
      </w:divBdr>
    </w:div>
    <w:div w:id="1041902865">
      <w:bodyDiv w:val="1"/>
      <w:marLeft w:val="0"/>
      <w:marRight w:val="0"/>
      <w:marTop w:val="0"/>
      <w:marBottom w:val="0"/>
      <w:divBdr>
        <w:top w:val="none" w:sz="0" w:space="0" w:color="auto"/>
        <w:left w:val="none" w:sz="0" w:space="0" w:color="auto"/>
        <w:bottom w:val="none" w:sz="0" w:space="0" w:color="auto"/>
        <w:right w:val="none" w:sz="0" w:space="0" w:color="auto"/>
      </w:divBdr>
    </w:div>
    <w:div w:id="1165316316">
      <w:bodyDiv w:val="1"/>
      <w:marLeft w:val="0"/>
      <w:marRight w:val="0"/>
      <w:marTop w:val="0"/>
      <w:marBottom w:val="0"/>
      <w:divBdr>
        <w:top w:val="none" w:sz="0" w:space="0" w:color="auto"/>
        <w:left w:val="none" w:sz="0" w:space="0" w:color="auto"/>
        <w:bottom w:val="none" w:sz="0" w:space="0" w:color="auto"/>
        <w:right w:val="none" w:sz="0" w:space="0" w:color="auto"/>
      </w:divBdr>
    </w:div>
    <w:div w:id="1291744663">
      <w:bodyDiv w:val="1"/>
      <w:marLeft w:val="0"/>
      <w:marRight w:val="0"/>
      <w:marTop w:val="0"/>
      <w:marBottom w:val="0"/>
      <w:divBdr>
        <w:top w:val="none" w:sz="0" w:space="0" w:color="auto"/>
        <w:left w:val="none" w:sz="0" w:space="0" w:color="auto"/>
        <w:bottom w:val="none" w:sz="0" w:space="0" w:color="auto"/>
        <w:right w:val="none" w:sz="0" w:space="0" w:color="auto"/>
      </w:divBdr>
    </w:div>
    <w:div w:id="1293244994">
      <w:bodyDiv w:val="1"/>
      <w:marLeft w:val="0"/>
      <w:marRight w:val="0"/>
      <w:marTop w:val="0"/>
      <w:marBottom w:val="0"/>
      <w:divBdr>
        <w:top w:val="none" w:sz="0" w:space="0" w:color="auto"/>
        <w:left w:val="none" w:sz="0" w:space="0" w:color="auto"/>
        <w:bottom w:val="none" w:sz="0" w:space="0" w:color="auto"/>
        <w:right w:val="none" w:sz="0" w:space="0" w:color="auto"/>
      </w:divBdr>
    </w:div>
    <w:div w:id="1347440134">
      <w:bodyDiv w:val="1"/>
      <w:marLeft w:val="0"/>
      <w:marRight w:val="0"/>
      <w:marTop w:val="0"/>
      <w:marBottom w:val="0"/>
      <w:divBdr>
        <w:top w:val="none" w:sz="0" w:space="0" w:color="auto"/>
        <w:left w:val="none" w:sz="0" w:space="0" w:color="auto"/>
        <w:bottom w:val="none" w:sz="0" w:space="0" w:color="auto"/>
        <w:right w:val="none" w:sz="0" w:space="0" w:color="auto"/>
      </w:divBdr>
    </w:div>
    <w:div w:id="1443260321">
      <w:bodyDiv w:val="1"/>
      <w:marLeft w:val="0"/>
      <w:marRight w:val="0"/>
      <w:marTop w:val="0"/>
      <w:marBottom w:val="0"/>
      <w:divBdr>
        <w:top w:val="none" w:sz="0" w:space="0" w:color="auto"/>
        <w:left w:val="none" w:sz="0" w:space="0" w:color="auto"/>
        <w:bottom w:val="none" w:sz="0" w:space="0" w:color="auto"/>
        <w:right w:val="none" w:sz="0" w:space="0" w:color="auto"/>
      </w:divBdr>
    </w:div>
    <w:div w:id="1528256054">
      <w:bodyDiv w:val="1"/>
      <w:marLeft w:val="0"/>
      <w:marRight w:val="0"/>
      <w:marTop w:val="0"/>
      <w:marBottom w:val="0"/>
      <w:divBdr>
        <w:top w:val="none" w:sz="0" w:space="0" w:color="auto"/>
        <w:left w:val="none" w:sz="0" w:space="0" w:color="auto"/>
        <w:bottom w:val="none" w:sz="0" w:space="0" w:color="auto"/>
        <w:right w:val="none" w:sz="0" w:space="0" w:color="auto"/>
      </w:divBdr>
    </w:div>
    <w:div w:id="1571576006">
      <w:bodyDiv w:val="1"/>
      <w:marLeft w:val="0"/>
      <w:marRight w:val="0"/>
      <w:marTop w:val="0"/>
      <w:marBottom w:val="0"/>
      <w:divBdr>
        <w:top w:val="none" w:sz="0" w:space="0" w:color="auto"/>
        <w:left w:val="none" w:sz="0" w:space="0" w:color="auto"/>
        <w:bottom w:val="none" w:sz="0" w:space="0" w:color="auto"/>
        <w:right w:val="none" w:sz="0" w:space="0" w:color="auto"/>
      </w:divBdr>
    </w:div>
    <w:div w:id="1616935890">
      <w:bodyDiv w:val="1"/>
      <w:marLeft w:val="0"/>
      <w:marRight w:val="0"/>
      <w:marTop w:val="0"/>
      <w:marBottom w:val="0"/>
      <w:divBdr>
        <w:top w:val="none" w:sz="0" w:space="0" w:color="auto"/>
        <w:left w:val="none" w:sz="0" w:space="0" w:color="auto"/>
        <w:bottom w:val="none" w:sz="0" w:space="0" w:color="auto"/>
        <w:right w:val="none" w:sz="0" w:space="0" w:color="auto"/>
      </w:divBdr>
      <w:divsChild>
        <w:div w:id="466364951">
          <w:marLeft w:val="0"/>
          <w:marRight w:val="0"/>
          <w:marTop w:val="0"/>
          <w:marBottom w:val="0"/>
          <w:divBdr>
            <w:top w:val="none" w:sz="0" w:space="0" w:color="auto"/>
            <w:left w:val="none" w:sz="0" w:space="0" w:color="auto"/>
            <w:bottom w:val="none" w:sz="0" w:space="0" w:color="auto"/>
            <w:right w:val="none" w:sz="0" w:space="0" w:color="auto"/>
          </w:divBdr>
        </w:div>
        <w:div w:id="1272589406">
          <w:marLeft w:val="0"/>
          <w:marRight w:val="0"/>
          <w:marTop w:val="0"/>
          <w:marBottom w:val="0"/>
          <w:divBdr>
            <w:top w:val="none" w:sz="0" w:space="0" w:color="auto"/>
            <w:left w:val="none" w:sz="0" w:space="0" w:color="auto"/>
            <w:bottom w:val="none" w:sz="0" w:space="0" w:color="auto"/>
            <w:right w:val="none" w:sz="0" w:space="0" w:color="auto"/>
          </w:divBdr>
        </w:div>
        <w:div w:id="522476582">
          <w:marLeft w:val="0"/>
          <w:marRight w:val="0"/>
          <w:marTop w:val="0"/>
          <w:marBottom w:val="0"/>
          <w:divBdr>
            <w:top w:val="none" w:sz="0" w:space="0" w:color="auto"/>
            <w:left w:val="none" w:sz="0" w:space="0" w:color="auto"/>
            <w:bottom w:val="none" w:sz="0" w:space="0" w:color="auto"/>
            <w:right w:val="none" w:sz="0" w:space="0" w:color="auto"/>
          </w:divBdr>
        </w:div>
        <w:div w:id="1094981659">
          <w:marLeft w:val="0"/>
          <w:marRight w:val="0"/>
          <w:marTop w:val="0"/>
          <w:marBottom w:val="0"/>
          <w:divBdr>
            <w:top w:val="none" w:sz="0" w:space="0" w:color="auto"/>
            <w:left w:val="none" w:sz="0" w:space="0" w:color="auto"/>
            <w:bottom w:val="none" w:sz="0" w:space="0" w:color="auto"/>
            <w:right w:val="none" w:sz="0" w:space="0" w:color="auto"/>
          </w:divBdr>
        </w:div>
      </w:divsChild>
    </w:div>
    <w:div w:id="1618877631">
      <w:bodyDiv w:val="1"/>
      <w:marLeft w:val="0"/>
      <w:marRight w:val="0"/>
      <w:marTop w:val="0"/>
      <w:marBottom w:val="0"/>
      <w:divBdr>
        <w:top w:val="none" w:sz="0" w:space="0" w:color="auto"/>
        <w:left w:val="none" w:sz="0" w:space="0" w:color="auto"/>
        <w:bottom w:val="none" w:sz="0" w:space="0" w:color="auto"/>
        <w:right w:val="none" w:sz="0" w:space="0" w:color="auto"/>
      </w:divBdr>
    </w:div>
    <w:div w:id="1660883904">
      <w:bodyDiv w:val="1"/>
      <w:marLeft w:val="0"/>
      <w:marRight w:val="0"/>
      <w:marTop w:val="0"/>
      <w:marBottom w:val="0"/>
      <w:divBdr>
        <w:top w:val="none" w:sz="0" w:space="0" w:color="auto"/>
        <w:left w:val="none" w:sz="0" w:space="0" w:color="auto"/>
        <w:bottom w:val="none" w:sz="0" w:space="0" w:color="auto"/>
        <w:right w:val="none" w:sz="0" w:space="0" w:color="auto"/>
      </w:divBdr>
    </w:div>
    <w:div w:id="1924366099">
      <w:bodyDiv w:val="1"/>
      <w:marLeft w:val="0"/>
      <w:marRight w:val="0"/>
      <w:marTop w:val="0"/>
      <w:marBottom w:val="0"/>
      <w:divBdr>
        <w:top w:val="none" w:sz="0" w:space="0" w:color="auto"/>
        <w:left w:val="none" w:sz="0" w:space="0" w:color="auto"/>
        <w:bottom w:val="none" w:sz="0" w:space="0" w:color="auto"/>
        <w:right w:val="none" w:sz="0" w:space="0" w:color="auto"/>
      </w:divBdr>
    </w:div>
    <w:div w:id="20531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Veronika Siliņeviča</cp:lastModifiedBy>
  <cp:revision>2</cp:revision>
  <cp:lastPrinted>2018-11-18T16:10:00Z</cp:lastPrinted>
  <dcterms:created xsi:type="dcterms:W3CDTF">2024-05-15T10:59:00Z</dcterms:created>
  <dcterms:modified xsi:type="dcterms:W3CDTF">2024-05-15T10:59:00Z</dcterms:modified>
</cp:coreProperties>
</file>